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3BD8" w14:textId="648048A8" w:rsidR="00FD1BA7" w:rsidRPr="00C93E9E" w:rsidRDefault="00C93E9E" w:rsidP="00C93E9E">
      <w:pPr>
        <w:jc w:val="center"/>
        <w:rPr>
          <w:rFonts w:ascii="Bahnschrift SemiLight" w:hAnsi="Bahnschrift SemiLight"/>
          <w:b/>
          <w:bCs/>
          <w:sz w:val="36"/>
          <w:szCs w:val="36"/>
        </w:rPr>
      </w:pPr>
      <w:r w:rsidRPr="00C93E9E">
        <w:rPr>
          <w:rFonts w:ascii="Bahnschrift SemiLight" w:hAnsi="Bahnschrift SemiLight"/>
          <w:b/>
          <w:bCs/>
          <w:sz w:val="36"/>
          <w:szCs w:val="36"/>
        </w:rPr>
        <w:t>Datos para efectos del artículo 184, fracción III de la Ley.</w:t>
      </w:r>
    </w:p>
    <w:p w14:paraId="4D1EB663" w14:textId="77777777" w:rsidR="00C93E9E" w:rsidRPr="00C93E9E" w:rsidRDefault="00C93E9E" w:rsidP="00C93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Fecha de entrada de la mercancía a territorio nacional (importación).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2E47E063" w14:textId="150A684E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2.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Clave del pedimento. </w:t>
      </w:r>
    </w:p>
    <w:p w14:paraId="16780970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3.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Tipo de operación.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160ECE81" w14:textId="226364F3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4.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Número de pedimento.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5114E2E9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5.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RFC del Importador/Exportador.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2951D964" w14:textId="4B50334E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6.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Clave del país vendedor o comprador. </w:t>
      </w:r>
    </w:p>
    <w:p w14:paraId="440D9583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7.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Clave del país de origen o del último destino.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582DA7AB" w14:textId="5ECD0F4D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8.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Clave del medio de transporte de entrada a territorio nacional. </w:t>
      </w:r>
    </w:p>
    <w:p w14:paraId="6A86263B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9.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Fracción arancelaria.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3775A0D7" w14:textId="7BD0E040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10.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Clave de la unidad de medida conforme a la TIGIE. </w:t>
      </w:r>
    </w:p>
    <w:p w14:paraId="36A8382A" w14:textId="1737EAF1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11.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Cantidad de la mercancía en unidad de la TIGIE. </w:t>
      </w:r>
    </w:p>
    <w:p w14:paraId="6E7F77D9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12.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Valor en aduana de la mercancía.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2B25C2CF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13.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Importe de fletes.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62AF4628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14.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Importe de seguros.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792346E4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>15.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Importe de embalajes.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59639B47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16.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Importe de otros incrementables.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5D48D5C6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17.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Fecha de pago de los impuestos.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4E3DE4BF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18.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Valor comercial de la mercancía.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377D48BB" w14:textId="573CE469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19.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Valor agregado en productos elaborados por Empresas con Programa IMMEX. </w:t>
      </w:r>
    </w:p>
    <w:p w14:paraId="5C5C0380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20.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Número de patente o de autorización de agente aduanal, agencia aduanal o de almacenadora.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50FF2FF9" w14:textId="56136736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lastRenderedPageBreak/>
        <w:t xml:space="preserve">21.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Permisos, autorización(es) e identificadores/claves. </w:t>
      </w:r>
    </w:p>
    <w:p w14:paraId="68E04191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22.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Número o números de permisos, autorización(es) e identificadores.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7E4036E8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23.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Los números de serie, parte, marca o modelo siempre que los declarados sean distintos de los que ostenten las mercancías en uno, dos o tres de sus caracteres alfanuméricos, o en su defecto las especificaciones técnicas o comerciales necesarias para identificar las mercancías individualmente y distinguirlas de otras similares, cuando dichos datos existan y no se consignen en el pedimento, en el CFDI o documento equivalente, en el documento de embarque o en relación que, en su caso, se haya anexado al pedimento.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00875D51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24.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Número de contenedor.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6413A9CA" w14:textId="4F2881C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 xml:space="preserve">25.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Clave del tipo de contenedor y tipo de vehículo de autotransporte.</w:t>
      </w:r>
      <w:r w:rsidRPr="00C93E9E">
        <w:rPr>
          <w:rFonts w:ascii="Century Gothic" w:eastAsia="Times New Roman" w:hAnsi="Century Gothic" w:cs="Times New Roman"/>
          <w:color w:val="0060A0"/>
          <w:sz w:val="24"/>
          <w:szCs w:val="24"/>
          <w:lang w:eastAsia="es-MX"/>
        </w:rPr>
        <w:t xml:space="preserve">  </w:t>
      </w:r>
    </w:p>
    <w:p w14:paraId="6165A185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>26. (Derogado)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12F24948" w14:textId="60079605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>27.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Depósito referenciado (línea de captura) y, en su caso, la impresión del pago electrónico conforme al Apéndice 23, del Anexo 22.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73F1FA16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>28.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Código QR, verificador de pago o cumplimiento.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25142145" w14:textId="77777777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>29.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INCOTERM.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104D1089" w14:textId="5DAA77C3" w:rsidR="00C93E9E" w:rsidRPr="00C93E9E" w:rsidRDefault="00C93E9E" w:rsidP="00C9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93E9E">
        <w:rPr>
          <w:rFonts w:ascii="Century Gothic" w:eastAsia="Times New Roman" w:hAnsi="Century Gothic" w:cs="Times New Roman"/>
          <w:b/>
          <w:bCs/>
          <w:sz w:val="24"/>
          <w:szCs w:val="24"/>
          <w:lang w:eastAsia="es-MX"/>
        </w:rPr>
        <w:t>30.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</w:t>
      </w:r>
      <w:proofErr w:type="spellStart"/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Decrementables</w:t>
      </w:r>
      <w:proofErr w:type="spellEnd"/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 xml:space="preserve"> conforme a lo dispuesto en el artículo 66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t xml:space="preserve"> </w:t>
      </w:r>
      <w:r w:rsidRPr="00C93E9E">
        <w:rPr>
          <w:rFonts w:ascii="Century Gothic" w:eastAsia="Times New Roman" w:hAnsi="Century Gothic" w:cs="Times New Roman"/>
          <w:sz w:val="24"/>
          <w:szCs w:val="24"/>
          <w:lang w:eastAsia="es-MX"/>
        </w:rPr>
        <w:t>de la Ley (TRANSPORTE DECREMENTABLES, SEGUROS DECREMENTABLES, CARGA DECREMENTABLES, DESCARGA DECREMENTABLES y OTROS DECREMENTABLES).</w:t>
      </w:r>
      <w:r w:rsidRPr="00C93E9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28703FF5" w14:textId="77777777" w:rsidR="00C93E9E" w:rsidRDefault="00C93E9E" w:rsidP="00C93E9E">
      <w:pPr>
        <w:jc w:val="center"/>
      </w:pPr>
    </w:p>
    <w:sectPr w:rsidR="00C93E9E" w:rsidSect="006924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1438" w14:textId="77777777" w:rsidR="00FA2500" w:rsidRDefault="00FA2500" w:rsidP="004B7D83">
      <w:pPr>
        <w:spacing w:after="0" w:line="240" w:lineRule="auto"/>
      </w:pPr>
      <w:r>
        <w:separator/>
      </w:r>
    </w:p>
  </w:endnote>
  <w:endnote w:type="continuationSeparator" w:id="0">
    <w:p w14:paraId="6414635D" w14:textId="77777777" w:rsidR="00FA2500" w:rsidRDefault="00FA2500" w:rsidP="004B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DA16" w14:textId="77777777" w:rsidR="00FA2500" w:rsidRDefault="00FA2500" w:rsidP="004B7D83">
      <w:pPr>
        <w:spacing w:after="0" w:line="240" w:lineRule="auto"/>
      </w:pPr>
      <w:r>
        <w:separator/>
      </w:r>
    </w:p>
  </w:footnote>
  <w:footnote w:type="continuationSeparator" w:id="0">
    <w:p w14:paraId="27B61AD7" w14:textId="77777777" w:rsidR="00FA2500" w:rsidRDefault="00FA2500" w:rsidP="004B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4EA" w14:textId="53F2D767" w:rsidR="004B7D83" w:rsidRDefault="004B7D83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 wp14:anchorId="263E7172" wp14:editId="55DC67C8">
          <wp:simplePos x="0" y="0"/>
          <wp:positionH relativeFrom="margin">
            <wp:align>center</wp:align>
          </wp:positionH>
          <wp:positionV relativeFrom="paragraph">
            <wp:posOffset>1580515</wp:posOffset>
          </wp:positionV>
          <wp:extent cx="7144203" cy="481012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203" cy="481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28"/>
    <w:rsid w:val="004B7D83"/>
    <w:rsid w:val="00692451"/>
    <w:rsid w:val="007D2928"/>
    <w:rsid w:val="00C93E9E"/>
    <w:rsid w:val="00FA2500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AA59C"/>
  <w15:chartTrackingRefBased/>
  <w15:docId w15:val="{38CADB05-14DB-41BA-B64D-1C3C6A4D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B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D83"/>
  </w:style>
  <w:style w:type="paragraph" w:styleId="Piedepgina">
    <w:name w:val="footer"/>
    <w:basedOn w:val="Normal"/>
    <w:link w:val="PiedepginaCar"/>
    <w:uiPriority w:val="99"/>
    <w:unhideWhenUsed/>
    <w:rsid w:val="004B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LOPEZ</dc:creator>
  <cp:keywords/>
  <dc:description/>
  <cp:lastModifiedBy>JORGE LOPEZ</cp:lastModifiedBy>
  <cp:revision>3</cp:revision>
  <dcterms:created xsi:type="dcterms:W3CDTF">2022-09-27T22:22:00Z</dcterms:created>
  <dcterms:modified xsi:type="dcterms:W3CDTF">2022-09-27T22:28:00Z</dcterms:modified>
</cp:coreProperties>
</file>